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267333" w:rsidRPr="00217EB2" w:rsidP="00DF0B07">
      <w:pPr>
        <w:spacing w:line="480" w:lineRule="auto"/>
        <w:ind w:firstLine="720"/>
        <w:jc w:val="center"/>
        <w:rPr>
          <w:rFonts w:ascii="Times New Roman" w:hAnsi="Times New Roman" w:cs="Times New Roman"/>
          <w:sz w:val="24"/>
          <w:szCs w:val="24"/>
        </w:rPr>
      </w:pPr>
    </w:p>
    <w:p w:rsidR="00267333" w:rsidRPr="00217EB2" w:rsidP="00DF0B07">
      <w:pPr>
        <w:spacing w:line="480" w:lineRule="auto"/>
        <w:ind w:firstLine="720"/>
        <w:jc w:val="center"/>
        <w:rPr>
          <w:rFonts w:ascii="Times New Roman" w:hAnsi="Times New Roman" w:cs="Times New Roman"/>
          <w:sz w:val="24"/>
          <w:szCs w:val="24"/>
        </w:rPr>
      </w:pPr>
    </w:p>
    <w:p w:rsidR="00267333" w:rsidRPr="00217EB2" w:rsidP="00DF0B07">
      <w:pPr>
        <w:spacing w:line="480" w:lineRule="auto"/>
        <w:ind w:firstLine="720"/>
        <w:jc w:val="center"/>
        <w:rPr>
          <w:rFonts w:ascii="Times New Roman" w:hAnsi="Times New Roman" w:cs="Times New Roman"/>
          <w:sz w:val="24"/>
          <w:szCs w:val="24"/>
        </w:rPr>
      </w:pPr>
    </w:p>
    <w:p w:rsidR="00267333" w:rsidRPr="00217EB2" w:rsidP="00DF0B07">
      <w:pPr>
        <w:spacing w:line="480" w:lineRule="auto"/>
        <w:ind w:firstLine="720"/>
        <w:jc w:val="center"/>
        <w:rPr>
          <w:rFonts w:ascii="Times New Roman" w:hAnsi="Times New Roman" w:cs="Times New Roman"/>
          <w:sz w:val="24"/>
          <w:szCs w:val="24"/>
        </w:rPr>
      </w:pPr>
    </w:p>
    <w:p w:rsidR="00267333" w:rsidRPr="00217EB2" w:rsidP="00DF0B07">
      <w:pPr>
        <w:spacing w:line="480" w:lineRule="auto"/>
        <w:ind w:firstLine="720"/>
        <w:jc w:val="center"/>
        <w:rPr>
          <w:rFonts w:ascii="Times New Roman" w:hAnsi="Times New Roman" w:cs="Times New Roman"/>
          <w:sz w:val="24"/>
          <w:szCs w:val="24"/>
        </w:rPr>
      </w:pPr>
      <w:r w:rsidRPr="00217EB2">
        <w:rPr>
          <w:rFonts w:ascii="Times New Roman" w:hAnsi="Times New Roman" w:cs="Times New Roman"/>
          <w:sz w:val="24"/>
          <w:szCs w:val="24"/>
        </w:rPr>
        <w:t>Name</w:t>
      </w:r>
    </w:p>
    <w:p w:rsidR="00267333" w:rsidRPr="00217EB2" w:rsidP="00DF0B07">
      <w:pPr>
        <w:tabs>
          <w:tab w:val="center" w:pos="5040"/>
          <w:tab w:val="left" w:pos="6145"/>
        </w:tabs>
        <w:spacing w:line="480" w:lineRule="auto"/>
        <w:ind w:firstLine="720"/>
        <w:rPr>
          <w:rFonts w:ascii="Times New Roman" w:hAnsi="Times New Roman" w:cs="Times New Roman"/>
          <w:sz w:val="24"/>
          <w:szCs w:val="24"/>
        </w:rPr>
      </w:pPr>
      <w:r w:rsidRPr="00217EB2">
        <w:rPr>
          <w:rFonts w:ascii="Times New Roman" w:hAnsi="Times New Roman" w:cs="Times New Roman"/>
          <w:sz w:val="24"/>
          <w:szCs w:val="24"/>
        </w:rPr>
        <w:tab/>
      </w:r>
      <w:r w:rsidRPr="00217EB2">
        <w:rPr>
          <w:rFonts w:ascii="Times New Roman" w:hAnsi="Times New Roman" w:cs="Times New Roman"/>
          <w:sz w:val="24"/>
          <w:szCs w:val="24"/>
        </w:rPr>
        <w:t>Institution</w:t>
      </w:r>
      <w:r w:rsidRPr="00217EB2">
        <w:rPr>
          <w:rFonts w:ascii="Times New Roman" w:hAnsi="Times New Roman" w:cs="Times New Roman"/>
          <w:sz w:val="24"/>
          <w:szCs w:val="24"/>
        </w:rPr>
        <w:tab/>
      </w:r>
    </w:p>
    <w:p w:rsidR="00267333" w:rsidRPr="00217EB2" w:rsidP="00DF0B07">
      <w:pPr>
        <w:spacing w:line="480" w:lineRule="auto"/>
        <w:ind w:firstLine="720"/>
        <w:jc w:val="center"/>
        <w:rPr>
          <w:rFonts w:ascii="Times New Roman" w:hAnsi="Times New Roman" w:cs="Times New Roman"/>
          <w:sz w:val="24"/>
          <w:szCs w:val="24"/>
        </w:rPr>
      </w:pPr>
      <w:r w:rsidRPr="00217EB2">
        <w:rPr>
          <w:rFonts w:ascii="Times New Roman" w:hAnsi="Times New Roman" w:cs="Times New Roman"/>
          <w:sz w:val="24"/>
          <w:szCs w:val="24"/>
        </w:rPr>
        <w:t>Course</w:t>
      </w:r>
    </w:p>
    <w:p w:rsidR="00267333" w:rsidRPr="00217EB2" w:rsidP="00DF0B07">
      <w:pPr>
        <w:spacing w:line="480" w:lineRule="auto"/>
        <w:ind w:firstLine="720"/>
        <w:jc w:val="center"/>
        <w:rPr>
          <w:rFonts w:ascii="Times New Roman" w:hAnsi="Times New Roman" w:cs="Times New Roman"/>
          <w:sz w:val="24"/>
          <w:szCs w:val="24"/>
        </w:rPr>
      </w:pPr>
      <w:r w:rsidRPr="00217EB2">
        <w:rPr>
          <w:rFonts w:ascii="Times New Roman" w:hAnsi="Times New Roman" w:cs="Times New Roman"/>
          <w:sz w:val="24"/>
          <w:szCs w:val="24"/>
        </w:rPr>
        <w:t>Instructor</w:t>
      </w:r>
    </w:p>
    <w:p w:rsidR="00267333" w:rsidRPr="00217EB2" w:rsidP="00DF0B07">
      <w:pPr>
        <w:spacing w:line="480" w:lineRule="auto"/>
        <w:ind w:firstLine="720"/>
        <w:jc w:val="center"/>
        <w:rPr>
          <w:rFonts w:ascii="Times New Roman" w:hAnsi="Times New Roman" w:cs="Times New Roman"/>
          <w:sz w:val="24"/>
          <w:szCs w:val="24"/>
        </w:rPr>
      </w:pPr>
      <w:r w:rsidRPr="00217EB2">
        <w:rPr>
          <w:rFonts w:ascii="Times New Roman" w:hAnsi="Times New Roman" w:cs="Times New Roman"/>
          <w:sz w:val="24"/>
          <w:szCs w:val="24"/>
        </w:rPr>
        <w:t>Date</w:t>
      </w:r>
    </w:p>
    <w:p w:rsidR="00267333" w:rsidRPr="00217EB2" w:rsidP="00DF0B07">
      <w:pPr>
        <w:spacing w:line="480" w:lineRule="auto"/>
        <w:ind w:firstLine="720"/>
        <w:jc w:val="both"/>
        <w:rPr>
          <w:rFonts w:ascii="Times New Roman" w:hAnsi="Times New Roman" w:cs="Times New Roman"/>
          <w:b/>
          <w:sz w:val="24"/>
          <w:szCs w:val="24"/>
        </w:rPr>
      </w:pPr>
    </w:p>
    <w:p w:rsidR="00267333" w:rsidRPr="00217EB2" w:rsidP="00DF0B07">
      <w:pPr>
        <w:spacing w:line="480" w:lineRule="auto"/>
        <w:ind w:firstLine="720"/>
        <w:jc w:val="both"/>
        <w:rPr>
          <w:rFonts w:ascii="Times New Roman" w:hAnsi="Times New Roman" w:cs="Times New Roman"/>
          <w:b/>
          <w:sz w:val="24"/>
          <w:szCs w:val="24"/>
        </w:rPr>
      </w:pPr>
    </w:p>
    <w:p w:rsidR="00267333" w:rsidRPr="00217EB2" w:rsidP="00DF0B07">
      <w:pPr>
        <w:spacing w:line="480" w:lineRule="auto"/>
        <w:ind w:firstLine="720"/>
        <w:jc w:val="both"/>
        <w:rPr>
          <w:rFonts w:ascii="Times New Roman" w:hAnsi="Times New Roman" w:cs="Times New Roman"/>
          <w:b/>
          <w:sz w:val="24"/>
          <w:szCs w:val="24"/>
        </w:rPr>
      </w:pPr>
    </w:p>
    <w:p w:rsidR="00267333" w:rsidRPr="00217EB2" w:rsidP="00DF0B07">
      <w:pPr>
        <w:spacing w:line="480" w:lineRule="auto"/>
        <w:ind w:firstLine="720"/>
        <w:jc w:val="both"/>
        <w:rPr>
          <w:rFonts w:ascii="Times New Roman" w:hAnsi="Times New Roman" w:cs="Times New Roman"/>
          <w:b/>
          <w:sz w:val="24"/>
          <w:szCs w:val="24"/>
        </w:rPr>
      </w:pPr>
    </w:p>
    <w:p w:rsidR="00267333" w:rsidRPr="00217EB2" w:rsidP="00DF0B07">
      <w:pPr>
        <w:spacing w:line="480" w:lineRule="auto"/>
        <w:ind w:firstLine="720"/>
        <w:jc w:val="both"/>
        <w:rPr>
          <w:rFonts w:ascii="Times New Roman" w:hAnsi="Times New Roman" w:cs="Times New Roman"/>
          <w:b/>
          <w:sz w:val="24"/>
          <w:szCs w:val="24"/>
        </w:rPr>
      </w:pPr>
    </w:p>
    <w:p w:rsidR="00267333" w:rsidRPr="00217EB2" w:rsidP="00DF0B07">
      <w:pPr>
        <w:spacing w:line="480" w:lineRule="auto"/>
        <w:ind w:firstLine="720"/>
        <w:jc w:val="both"/>
        <w:rPr>
          <w:rFonts w:ascii="Times New Roman" w:hAnsi="Times New Roman" w:cs="Times New Roman"/>
          <w:b/>
          <w:sz w:val="24"/>
          <w:szCs w:val="24"/>
        </w:rPr>
      </w:pPr>
    </w:p>
    <w:p w:rsidR="00267333" w:rsidRPr="00217EB2" w:rsidP="00DF0B07">
      <w:pPr>
        <w:spacing w:line="480" w:lineRule="auto"/>
        <w:ind w:firstLine="720"/>
        <w:jc w:val="both"/>
        <w:rPr>
          <w:rFonts w:ascii="Times New Roman" w:hAnsi="Times New Roman" w:cs="Times New Roman"/>
          <w:b/>
          <w:sz w:val="24"/>
          <w:szCs w:val="24"/>
        </w:rPr>
      </w:pPr>
    </w:p>
    <w:p w:rsidR="001D2FD1" w:rsidRPr="00217EB2" w:rsidP="00DF0B07">
      <w:pPr>
        <w:spacing w:line="480" w:lineRule="auto"/>
        <w:ind w:firstLine="720"/>
        <w:jc w:val="both"/>
        <w:rPr>
          <w:rFonts w:ascii="Times New Roman" w:hAnsi="Times New Roman" w:cs="Times New Roman"/>
          <w:b/>
          <w:sz w:val="24"/>
          <w:szCs w:val="24"/>
        </w:rPr>
      </w:pPr>
    </w:p>
    <w:p w:rsidR="00BA3E5E" w:rsidRPr="00217EB2" w:rsidP="00DF0B07">
      <w:pPr>
        <w:spacing w:line="480" w:lineRule="auto"/>
        <w:ind w:firstLine="720"/>
        <w:jc w:val="both"/>
        <w:rPr>
          <w:rFonts w:ascii="Times New Roman" w:hAnsi="Times New Roman" w:cs="Times New Roman"/>
          <w:b/>
          <w:sz w:val="24"/>
          <w:szCs w:val="24"/>
        </w:rPr>
      </w:pPr>
      <w:r w:rsidRPr="00217EB2">
        <w:rPr>
          <w:rFonts w:ascii="Times New Roman" w:hAnsi="Times New Roman" w:cs="Times New Roman"/>
          <w:b/>
          <w:sz w:val="24"/>
          <w:szCs w:val="24"/>
        </w:rPr>
        <w:t>Power of attorney</w:t>
      </w:r>
    </w:p>
    <w:p w:rsidR="00420CD3" w:rsidRPr="00217EB2" w:rsidP="00DF0B07">
      <w:pPr>
        <w:spacing w:line="480" w:lineRule="auto"/>
        <w:ind w:firstLine="720"/>
        <w:jc w:val="both"/>
        <w:rPr>
          <w:rFonts w:ascii="Times New Roman" w:hAnsi="Times New Roman" w:cs="Times New Roman"/>
          <w:sz w:val="24"/>
          <w:szCs w:val="24"/>
        </w:rPr>
      </w:pPr>
      <w:r w:rsidRPr="00217EB2">
        <w:rPr>
          <w:rFonts w:ascii="Times New Roman" w:hAnsi="Times New Roman" w:cs="Times New Roman"/>
          <w:sz w:val="24"/>
          <w:szCs w:val="24"/>
        </w:rPr>
        <w:t xml:space="preserve">The power of attorney documents available for the state of Alabama and Florida both show various similarities and differences. Both of the </w:t>
      </w:r>
      <w:r w:rsidRPr="00217EB2" w:rsidR="00690EF7">
        <w:rPr>
          <w:rFonts w:ascii="Times New Roman" w:hAnsi="Times New Roman" w:cs="Times New Roman"/>
          <w:sz w:val="24"/>
          <w:szCs w:val="24"/>
        </w:rPr>
        <w:t>documents allow and individual or an attorney selected to make decisions on behalf of the other person.</w:t>
      </w:r>
      <w:r w:rsidRPr="00217EB2" w:rsidR="00902BDE">
        <w:rPr>
          <w:rFonts w:ascii="Times New Roman" w:hAnsi="Times New Roman" w:cs="Times New Roman"/>
          <w:sz w:val="24"/>
          <w:szCs w:val="24"/>
        </w:rPr>
        <w:t xml:space="preserve"> The documents allow the attorney or the individual selected to carry out any activities and decisions regarding the healthcare, finan</w:t>
      </w:r>
      <w:r w:rsidRPr="00217EB2" w:rsidR="00370D64">
        <w:rPr>
          <w:rFonts w:ascii="Times New Roman" w:hAnsi="Times New Roman" w:cs="Times New Roman"/>
          <w:sz w:val="24"/>
          <w:szCs w:val="24"/>
        </w:rPr>
        <w:t>ces, and even property on behalf of the individual selecting them.</w:t>
      </w:r>
      <w:r w:rsidRPr="00217EB2" w:rsidR="00C7666B">
        <w:rPr>
          <w:rFonts w:ascii="Times New Roman" w:hAnsi="Times New Roman" w:cs="Times New Roman"/>
          <w:sz w:val="24"/>
          <w:szCs w:val="24"/>
        </w:rPr>
        <w:t xml:space="preserve"> </w:t>
      </w:r>
    </w:p>
    <w:p w:rsidR="00004DB2" w:rsidRPr="00217EB2" w:rsidP="00DF0B07">
      <w:pPr>
        <w:spacing w:line="480" w:lineRule="auto"/>
        <w:ind w:firstLine="720"/>
        <w:jc w:val="both"/>
        <w:rPr>
          <w:rFonts w:ascii="Times New Roman" w:hAnsi="Times New Roman" w:cs="Times New Roman"/>
          <w:sz w:val="24"/>
          <w:szCs w:val="24"/>
        </w:rPr>
      </w:pPr>
      <w:r w:rsidRPr="00217EB2">
        <w:rPr>
          <w:rFonts w:ascii="Times New Roman" w:hAnsi="Times New Roman" w:cs="Times New Roman"/>
          <w:sz w:val="24"/>
          <w:szCs w:val="24"/>
        </w:rPr>
        <w:t xml:space="preserve">Both documents present the names of the individuals signing giving authority. The name of the individual granted the powers through the document is included. In the case when the selected individual is not available, </w:t>
      </w:r>
      <w:r w:rsidRPr="00217EB2" w:rsidR="00CD0D7A">
        <w:rPr>
          <w:rFonts w:ascii="Times New Roman" w:hAnsi="Times New Roman" w:cs="Times New Roman"/>
          <w:sz w:val="24"/>
          <w:szCs w:val="24"/>
        </w:rPr>
        <w:t xml:space="preserve">the documents specify the names of the surrogate individuals who should </w:t>
      </w:r>
      <w:r w:rsidRPr="00217EB2" w:rsidR="0012726D">
        <w:rPr>
          <w:rFonts w:ascii="Times New Roman" w:hAnsi="Times New Roman" w:cs="Times New Roman"/>
          <w:sz w:val="24"/>
          <w:szCs w:val="24"/>
        </w:rPr>
        <w:t>take</w:t>
      </w:r>
      <w:r w:rsidRPr="00217EB2" w:rsidR="00CD0D7A">
        <w:rPr>
          <w:rFonts w:ascii="Times New Roman" w:hAnsi="Times New Roman" w:cs="Times New Roman"/>
          <w:sz w:val="24"/>
          <w:szCs w:val="24"/>
        </w:rPr>
        <w:t xml:space="preserve"> responsibility in both Alabama and Florida.  </w:t>
      </w:r>
      <w:r w:rsidRPr="00217EB2" w:rsidR="0012726D">
        <w:rPr>
          <w:rFonts w:ascii="Times New Roman" w:hAnsi="Times New Roman" w:cs="Times New Roman"/>
          <w:sz w:val="24"/>
          <w:szCs w:val="24"/>
        </w:rPr>
        <w:t xml:space="preserve">Both the documents require at least two witnesses who are not related to the person granting the permissions including their full names and signatures. </w:t>
      </w:r>
    </w:p>
    <w:p w:rsidR="00D2757B" w:rsidRPr="00217EB2" w:rsidP="00DF0B07">
      <w:pPr>
        <w:spacing w:line="480" w:lineRule="auto"/>
        <w:ind w:firstLine="720"/>
        <w:jc w:val="both"/>
        <w:rPr>
          <w:rFonts w:ascii="Times New Roman" w:hAnsi="Times New Roman" w:cs="Times New Roman"/>
          <w:sz w:val="24"/>
          <w:szCs w:val="24"/>
        </w:rPr>
      </w:pPr>
      <w:r w:rsidRPr="00217EB2">
        <w:rPr>
          <w:rFonts w:ascii="Times New Roman" w:hAnsi="Times New Roman" w:cs="Times New Roman"/>
          <w:sz w:val="24"/>
          <w:szCs w:val="24"/>
        </w:rPr>
        <w:t xml:space="preserve">There are various differences that can be noted from the Power of Attorney documents of the two states. </w:t>
      </w:r>
      <w:r w:rsidRPr="00217EB2" w:rsidR="004C0381">
        <w:rPr>
          <w:rFonts w:ascii="Times New Roman" w:hAnsi="Times New Roman" w:cs="Times New Roman"/>
          <w:sz w:val="24"/>
          <w:szCs w:val="24"/>
        </w:rPr>
        <w:t xml:space="preserve">The state of Alabama requires the individual to provide the name of the </w:t>
      </w:r>
      <w:r w:rsidRPr="00217EB2" w:rsidR="00F45694">
        <w:rPr>
          <w:rFonts w:ascii="Times New Roman" w:hAnsi="Times New Roman" w:cs="Times New Roman"/>
          <w:sz w:val="24"/>
          <w:szCs w:val="24"/>
        </w:rPr>
        <w:t>individual selected as well as the surrogate in case they are not available. The details provided in the state of Florida</w:t>
      </w:r>
      <w:r w:rsidRPr="00217EB2" w:rsidR="006F42C3">
        <w:rPr>
          <w:rFonts w:ascii="Times New Roman" w:hAnsi="Times New Roman" w:cs="Times New Roman"/>
          <w:sz w:val="24"/>
          <w:szCs w:val="24"/>
        </w:rPr>
        <w:t xml:space="preserve"> require specified details of the individuals selected including their name, their street address, the city they live in as well as the individual contacts that can be used to reach the individuals. </w:t>
      </w:r>
    </w:p>
    <w:p w:rsidR="00BB0E3B" w:rsidRPr="00217EB2" w:rsidP="00DF0B07">
      <w:pPr>
        <w:spacing w:line="480" w:lineRule="auto"/>
        <w:ind w:firstLine="720"/>
        <w:jc w:val="both"/>
        <w:rPr>
          <w:rFonts w:ascii="Times New Roman" w:hAnsi="Times New Roman" w:cs="Times New Roman"/>
          <w:sz w:val="24"/>
          <w:szCs w:val="24"/>
        </w:rPr>
      </w:pPr>
      <w:r w:rsidRPr="00217EB2">
        <w:rPr>
          <w:rFonts w:ascii="Times New Roman" w:hAnsi="Times New Roman" w:cs="Times New Roman"/>
          <w:sz w:val="24"/>
          <w:szCs w:val="24"/>
        </w:rPr>
        <w:t xml:space="preserve">Witnesses are also an important element in the documents. Both states require witnesses to be present as the individual signs the document and the </w:t>
      </w:r>
      <w:r w:rsidRPr="00217EB2" w:rsidR="00877E5F">
        <w:rPr>
          <w:rFonts w:ascii="Times New Roman" w:hAnsi="Times New Roman" w:cs="Times New Roman"/>
          <w:sz w:val="24"/>
          <w:szCs w:val="24"/>
        </w:rPr>
        <w:t xml:space="preserve">signature from the witnesses are also required. The state of Alabama includes a declaration by the witness </w:t>
      </w:r>
      <w:r w:rsidRPr="00217EB2" w:rsidR="00E02088">
        <w:rPr>
          <w:rFonts w:ascii="Times New Roman" w:hAnsi="Times New Roman" w:cs="Times New Roman"/>
          <w:sz w:val="24"/>
          <w:szCs w:val="24"/>
        </w:rPr>
        <w:t xml:space="preserve">including an affirmation of the </w:t>
      </w:r>
      <w:r w:rsidRPr="00217EB2" w:rsidR="00E9402E">
        <w:rPr>
          <w:rFonts w:ascii="Times New Roman" w:hAnsi="Times New Roman" w:cs="Times New Roman"/>
          <w:sz w:val="24"/>
          <w:szCs w:val="24"/>
        </w:rPr>
        <w:t>person’s</w:t>
      </w:r>
      <w:r w:rsidRPr="00217EB2" w:rsidR="00E02088">
        <w:rPr>
          <w:rFonts w:ascii="Times New Roman" w:hAnsi="Times New Roman" w:cs="Times New Roman"/>
          <w:sz w:val="24"/>
          <w:szCs w:val="24"/>
        </w:rPr>
        <w:t xml:space="preserve"> mental health status as well as explaining the relationship with the grantor which </w:t>
      </w:r>
      <w:r w:rsidRPr="00217EB2" w:rsidR="00E02088">
        <w:rPr>
          <w:rFonts w:ascii="Times New Roman" w:hAnsi="Times New Roman" w:cs="Times New Roman"/>
          <w:sz w:val="24"/>
          <w:szCs w:val="24"/>
        </w:rPr>
        <w:t xml:space="preserve">should not include any relationship by blood family or even </w:t>
      </w:r>
      <w:r w:rsidRPr="00217EB2" w:rsidR="00E02933">
        <w:rPr>
          <w:rFonts w:ascii="Times New Roman" w:hAnsi="Times New Roman" w:cs="Times New Roman"/>
          <w:sz w:val="24"/>
          <w:szCs w:val="24"/>
        </w:rPr>
        <w:t>adoption (</w:t>
      </w:r>
      <w:r w:rsidRPr="00217EB2" w:rsidR="00E02933">
        <w:rPr>
          <w:rFonts w:ascii="Times New Roman" w:hAnsi="Times New Roman" w:cs="Times New Roman"/>
          <w:sz w:val="24"/>
          <w:szCs w:val="24"/>
          <w:shd w:val="clear" w:color="auto" w:fill="FFFFFF"/>
        </w:rPr>
        <w:t>Waters, 2018).</w:t>
      </w:r>
      <w:r w:rsidRPr="00217EB2" w:rsidR="00E9402E">
        <w:rPr>
          <w:rFonts w:ascii="Times New Roman" w:hAnsi="Times New Roman" w:cs="Times New Roman"/>
          <w:sz w:val="24"/>
          <w:szCs w:val="24"/>
        </w:rPr>
        <w:t xml:space="preserve"> This</w:t>
      </w:r>
      <w:r w:rsidRPr="00217EB2" w:rsidR="00AA44F1">
        <w:rPr>
          <w:rFonts w:ascii="Times New Roman" w:hAnsi="Times New Roman" w:cs="Times New Roman"/>
          <w:sz w:val="24"/>
          <w:szCs w:val="24"/>
        </w:rPr>
        <w:t xml:space="preserve"> declaration is not required in the state of </w:t>
      </w:r>
      <w:r w:rsidRPr="00217EB2" w:rsidR="00E9402E">
        <w:rPr>
          <w:rFonts w:ascii="Times New Roman" w:hAnsi="Times New Roman" w:cs="Times New Roman"/>
          <w:sz w:val="24"/>
          <w:szCs w:val="24"/>
        </w:rPr>
        <w:t>Florida</w:t>
      </w:r>
      <w:r w:rsidRPr="00217EB2" w:rsidR="00AA44F1">
        <w:rPr>
          <w:rFonts w:ascii="Times New Roman" w:hAnsi="Times New Roman" w:cs="Times New Roman"/>
          <w:sz w:val="24"/>
          <w:szCs w:val="24"/>
        </w:rPr>
        <w:t xml:space="preserve">. Only the name of the witnesses is required </w:t>
      </w:r>
      <w:r w:rsidRPr="00217EB2" w:rsidR="00E76E94">
        <w:rPr>
          <w:rFonts w:ascii="Times New Roman" w:hAnsi="Times New Roman" w:cs="Times New Roman"/>
          <w:sz w:val="24"/>
          <w:szCs w:val="24"/>
        </w:rPr>
        <w:t xml:space="preserve">as well as their signatures. The state of Florida however allows the grantor to send a copy of the documents to other individuals </w:t>
      </w:r>
      <w:r w:rsidRPr="00217EB2" w:rsidR="00783306">
        <w:rPr>
          <w:rFonts w:ascii="Times New Roman" w:hAnsi="Times New Roman" w:cs="Times New Roman"/>
          <w:sz w:val="24"/>
          <w:szCs w:val="24"/>
        </w:rPr>
        <w:t xml:space="preserve">apart from the witnesses who can be called upon in </w:t>
      </w:r>
      <w:r w:rsidRPr="00217EB2" w:rsidR="009D26BC">
        <w:rPr>
          <w:rFonts w:ascii="Times New Roman" w:hAnsi="Times New Roman" w:cs="Times New Roman"/>
          <w:sz w:val="24"/>
          <w:szCs w:val="24"/>
        </w:rPr>
        <w:t>assuring the validity of the document when needed.</w:t>
      </w:r>
    </w:p>
    <w:p w:rsidR="00E9402E" w:rsidRPr="00217EB2" w:rsidP="00DF0B07">
      <w:pPr>
        <w:spacing w:line="480" w:lineRule="auto"/>
        <w:ind w:firstLine="720"/>
        <w:jc w:val="both"/>
        <w:rPr>
          <w:rFonts w:ascii="Times New Roman" w:hAnsi="Times New Roman" w:cs="Times New Roman"/>
          <w:sz w:val="24"/>
          <w:szCs w:val="24"/>
        </w:rPr>
      </w:pPr>
      <w:r w:rsidRPr="00217EB2">
        <w:rPr>
          <w:rFonts w:ascii="Times New Roman" w:hAnsi="Times New Roman" w:cs="Times New Roman"/>
          <w:sz w:val="24"/>
          <w:szCs w:val="24"/>
        </w:rPr>
        <w:t>The roles of the agents selected are well defined in the state of Alabama. The Agent authority laws in Alabama give the agent the power to authorize or deny treatments to an individual as well as the making of all health decisions regarding the principal individual. These roles are well defined in the Power of Attorney document for the state of Alabama</w:t>
      </w:r>
      <w:r w:rsidRPr="00217EB2" w:rsidR="001D360C">
        <w:rPr>
          <w:rFonts w:ascii="Times New Roman" w:hAnsi="Times New Roman" w:cs="Times New Roman"/>
          <w:sz w:val="24"/>
          <w:szCs w:val="24"/>
        </w:rPr>
        <w:t xml:space="preserve">. The agent is given the authority to authorize or deny medication of the individual </w:t>
      </w:r>
      <w:r w:rsidRPr="00217EB2" w:rsidR="004A3ED6">
        <w:rPr>
          <w:rFonts w:ascii="Times New Roman" w:hAnsi="Times New Roman" w:cs="Times New Roman"/>
          <w:sz w:val="24"/>
          <w:szCs w:val="24"/>
        </w:rPr>
        <w:t xml:space="preserve">even when they understand the consequences it may bring to the patient. The agent or representative can also sign any document related to healthcare as well as pursuing any legal actions when required in the name of the individual. The state of Florida does not include well-defined roles of the attorney. </w:t>
      </w:r>
      <w:r w:rsidRPr="00217EB2" w:rsidR="00AD4DDC">
        <w:rPr>
          <w:rFonts w:ascii="Times New Roman" w:hAnsi="Times New Roman" w:cs="Times New Roman"/>
          <w:sz w:val="24"/>
          <w:szCs w:val="24"/>
        </w:rPr>
        <w:t xml:space="preserve">The document, called the designation of Health Care Surrogate in Florida, grants one the power to provide informed consent in medical treatment and other procedures such as surgery and diagnosis. </w:t>
      </w:r>
      <w:r w:rsidRPr="00217EB2" w:rsidR="00122409">
        <w:rPr>
          <w:rFonts w:ascii="Times New Roman" w:hAnsi="Times New Roman" w:cs="Times New Roman"/>
          <w:sz w:val="24"/>
          <w:szCs w:val="24"/>
        </w:rPr>
        <w:t>The authorities are granted according to Florida’</w:t>
      </w:r>
      <w:r w:rsidRPr="00217EB2" w:rsidR="00BF228E">
        <w:rPr>
          <w:rFonts w:ascii="Times New Roman" w:hAnsi="Times New Roman" w:cs="Times New Roman"/>
          <w:sz w:val="24"/>
          <w:szCs w:val="24"/>
        </w:rPr>
        <w:t>s power of the Attorney A</w:t>
      </w:r>
      <w:r w:rsidRPr="00217EB2" w:rsidR="00122409">
        <w:rPr>
          <w:rFonts w:ascii="Times New Roman" w:hAnsi="Times New Roman" w:cs="Times New Roman"/>
          <w:sz w:val="24"/>
          <w:szCs w:val="24"/>
        </w:rPr>
        <w:t>ct</w:t>
      </w:r>
      <w:r w:rsidRPr="00217EB2" w:rsidR="00B45404">
        <w:rPr>
          <w:rFonts w:ascii="Times New Roman" w:hAnsi="Times New Roman" w:cs="Times New Roman"/>
          <w:sz w:val="24"/>
          <w:szCs w:val="24"/>
        </w:rPr>
        <w:t xml:space="preserve"> which allows the principal individual to grant the authority to </w:t>
      </w:r>
      <w:r w:rsidRPr="00217EB2" w:rsidR="00C618ED">
        <w:rPr>
          <w:rFonts w:ascii="Times New Roman" w:hAnsi="Times New Roman" w:cs="Times New Roman"/>
          <w:sz w:val="24"/>
          <w:szCs w:val="24"/>
        </w:rPr>
        <w:t>their agent of acting in their place and ensuring all the acts performed are to the benefits of the</w:t>
      </w:r>
      <w:r w:rsidRPr="00217EB2" w:rsidR="00247E92">
        <w:rPr>
          <w:rFonts w:ascii="Times New Roman" w:hAnsi="Times New Roman" w:cs="Times New Roman"/>
          <w:sz w:val="24"/>
          <w:szCs w:val="24"/>
        </w:rPr>
        <w:t xml:space="preserve"> principal or their successors (</w:t>
      </w:r>
      <w:r w:rsidRPr="00217EB2" w:rsidR="00247E92">
        <w:rPr>
          <w:rFonts w:ascii="Times New Roman" w:hAnsi="Times New Roman" w:cs="Times New Roman"/>
          <w:sz w:val="24"/>
          <w:szCs w:val="24"/>
          <w:shd w:val="clear" w:color="auto" w:fill="FFFFFF"/>
        </w:rPr>
        <w:t>Vallario, 2014).</w:t>
      </w:r>
    </w:p>
    <w:p w:rsidR="00EB658C" w:rsidRPr="00217EB2" w:rsidP="00DF0B07">
      <w:pPr>
        <w:spacing w:line="480" w:lineRule="auto"/>
        <w:ind w:firstLine="720"/>
        <w:jc w:val="both"/>
        <w:rPr>
          <w:rFonts w:ascii="Times New Roman" w:hAnsi="Times New Roman" w:cs="Times New Roman"/>
          <w:sz w:val="24"/>
          <w:szCs w:val="24"/>
        </w:rPr>
      </w:pPr>
      <w:r w:rsidRPr="00217EB2">
        <w:rPr>
          <w:rFonts w:ascii="Times New Roman" w:hAnsi="Times New Roman" w:cs="Times New Roman"/>
          <w:sz w:val="24"/>
          <w:szCs w:val="24"/>
        </w:rPr>
        <w:t xml:space="preserve">The state of Alabama also requires an attestation from an authority agent. The attestation is made to confirm that the documents </w:t>
      </w:r>
      <w:r w:rsidRPr="00217EB2" w:rsidR="009E4A1D">
        <w:rPr>
          <w:rFonts w:ascii="Times New Roman" w:hAnsi="Times New Roman" w:cs="Times New Roman"/>
          <w:sz w:val="24"/>
          <w:szCs w:val="24"/>
        </w:rPr>
        <w:t>were</w:t>
      </w:r>
      <w:r w:rsidRPr="00217EB2">
        <w:rPr>
          <w:rFonts w:ascii="Times New Roman" w:hAnsi="Times New Roman" w:cs="Times New Roman"/>
          <w:sz w:val="24"/>
          <w:szCs w:val="24"/>
        </w:rPr>
        <w:t xml:space="preserve"> presented to the attorney with details regarding the day of submission as well as the day their commission expires.</w:t>
      </w:r>
    </w:p>
    <w:p w:rsidR="00EB658C" w:rsidRPr="00217EB2" w:rsidP="00DF0B07">
      <w:pPr>
        <w:spacing w:line="480" w:lineRule="auto"/>
        <w:ind w:firstLine="720"/>
        <w:jc w:val="both"/>
        <w:rPr>
          <w:rFonts w:ascii="Times New Roman" w:hAnsi="Times New Roman" w:cs="Times New Roman"/>
          <w:sz w:val="24"/>
          <w:szCs w:val="24"/>
        </w:rPr>
      </w:pPr>
    </w:p>
    <w:p w:rsidR="00EB658C" w:rsidRPr="00217EB2" w:rsidP="00F464F7">
      <w:pPr>
        <w:spacing w:line="480" w:lineRule="auto"/>
        <w:ind w:firstLine="720"/>
        <w:jc w:val="center"/>
        <w:rPr>
          <w:rFonts w:ascii="Times New Roman" w:hAnsi="Times New Roman" w:cs="Times New Roman"/>
          <w:b/>
          <w:sz w:val="24"/>
          <w:szCs w:val="24"/>
        </w:rPr>
      </w:pPr>
      <w:r w:rsidRPr="00217EB2">
        <w:rPr>
          <w:rFonts w:ascii="Times New Roman" w:hAnsi="Times New Roman" w:cs="Times New Roman"/>
          <w:b/>
          <w:sz w:val="24"/>
          <w:szCs w:val="24"/>
        </w:rPr>
        <w:t>References</w:t>
      </w:r>
    </w:p>
    <w:p w:rsidR="00E02933" w:rsidRPr="00217EB2" w:rsidP="00F464F7">
      <w:pPr>
        <w:spacing w:line="480" w:lineRule="auto"/>
        <w:ind w:firstLine="720"/>
        <w:jc w:val="center"/>
        <w:rPr>
          <w:rFonts w:ascii="Times New Roman" w:hAnsi="Times New Roman" w:cs="Times New Roman"/>
          <w:b/>
          <w:sz w:val="24"/>
          <w:szCs w:val="24"/>
        </w:rPr>
      </w:pPr>
      <w:r w:rsidRPr="00217EB2">
        <w:rPr>
          <w:rFonts w:ascii="Times New Roman" w:hAnsi="Times New Roman" w:cs="Times New Roman"/>
          <w:sz w:val="24"/>
          <w:szCs w:val="24"/>
          <w:shd w:val="clear" w:color="auto" w:fill="FFFFFF"/>
        </w:rPr>
        <w:t>Vallario, A. M. (2014). The Uniform Power of Attorney Act: Not a One-Size-Fits-All Solution. </w:t>
      </w:r>
      <w:r w:rsidRPr="00217EB2">
        <w:rPr>
          <w:rFonts w:ascii="Times New Roman" w:hAnsi="Times New Roman" w:cs="Times New Roman"/>
          <w:i/>
          <w:iCs/>
          <w:sz w:val="24"/>
          <w:szCs w:val="24"/>
          <w:shd w:val="clear" w:color="auto" w:fill="FFFFFF"/>
        </w:rPr>
        <w:t>U. Balt. L. Rev.</w:t>
      </w:r>
      <w:r w:rsidRPr="00217EB2">
        <w:rPr>
          <w:rFonts w:ascii="Times New Roman" w:hAnsi="Times New Roman" w:cs="Times New Roman"/>
          <w:sz w:val="24"/>
          <w:szCs w:val="24"/>
          <w:shd w:val="clear" w:color="auto" w:fill="FFFFFF"/>
        </w:rPr>
        <w:t>, </w:t>
      </w:r>
      <w:r w:rsidRPr="00217EB2">
        <w:rPr>
          <w:rFonts w:ascii="Times New Roman" w:hAnsi="Times New Roman" w:cs="Times New Roman"/>
          <w:i/>
          <w:iCs/>
          <w:sz w:val="24"/>
          <w:szCs w:val="24"/>
          <w:shd w:val="clear" w:color="auto" w:fill="FFFFFF"/>
        </w:rPr>
        <w:t>43</w:t>
      </w:r>
      <w:r w:rsidRPr="00217EB2">
        <w:rPr>
          <w:rFonts w:ascii="Times New Roman" w:hAnsi="Times New Roman" w:cs="Times New Roman"/>
          <w:sz w:val="24"/>
          <w:szCs w:val="24"/>
          <w:shd w:val="clear" w:color="auto" w:fill="FFFFFF"/>
        </w:rPr>
        <w:t>, 85.</w:t>
      </w:r>
    </w:p>
    <w:p w:rsidR="00E02933" w:rsidRPr="00217EB2" w:rsidP="00F464F7">
      <w:pPr>
        <w:spacing w:line="480" w:lineRule="auto"/>
        <w:ind w:firstLine="720"/>
        <w:jc w:val="center"/>
        <w:rPr>
          <w:rFonts w:ascii="Times New Roman" w:hAnsi="Times New Roman" w:cs="Times New Roman"/>
          <w:sz w:val="24"/>
          <w:szCs w:val="24"/>
          <w:shd w:val="clear" w:color="auto" w:fill="FFFFFF"/>
        </w:rPr>
      </w:pPr>
      <w:r w:rsidRPr="00217EB2">
        <w:rPr>
          <w:rFonts w:ascii="Times New Roman" w:hAnsi="Times New Roman" w:cs="Times New Roman"/>
          <w:sz w:val="24"/>
          <w:szCs w:val="24"/>
          <w:shd w:val="clear" w:color="auto" w:fill="FFFFFF"/>
        </w:rPr>
        <w:t>Waters, R. C. (2018). Florida Durable Power of Attorney Law: The Need for Reform. </w:t>
      </w:r>
      <w:r w:rsidRPr="00217EB2">
        <w:rPr>
          <w:rFonts w:ascii="Times New Roman" w:hAnsi="Times New Roman" w:cs="Times New Roman"/>
          <w:i/>
          <w:iCs/>
          <w:sz w:val="24"/>
          <w:szCs w:val="24"/>
          <w:shd w:val="clear" w:color="auto" w:fill="FFFFFF"/>
        </w:rPr>
        <w:t>Fla. St. UL Rev.</w:t>
      </w:r>
      <w:r w:rsidRPr="00217EB2">
        <w:rPr>
          <w:rFonts w:ascii="Times New Roman" w:hAnsi="Times New Roman" w:cs="Times New Roman"/>
          <w:sz w:val="24"/>
          <w:szCs w:val="24"/>
          <w:shd w:val="clear" w:color="auto" w:fill="FFFFFF"/>
        </w:rPr>
        <w:t>, </w:t>
      </w:r>
      <w:r w:rsidRPr="00217EB2">
        <w:rPr>
          <w:rFonts w:ascii="Times New Roman" w:hAnsi="Times New Roman" w:cs="Times New Roman"/>
          <w:i/>
          <w:iCs/>
          <w:sz w:val="24"/>
          <w:szCs w:val="24"/>
          <w:shd w:val="clear" w:color="auto" w:fill="FFFFFF"/>
        </w:rPr>
        <w:t>17</w:t>
      </w:r>
      <w:r w:rsidRPr="00217EB2">
        <w:rPr>
          <w:rFonts w:ascii="Times New Roman" w:hAnsi="Times New Roman" w:cs="Times New Roman"/>
          <w:sz w:val="24"/>
          <w:szCs w:val="24"/>
          <w:shd w:val="clear" w:color="auto" w:fill="FFFFFF"/>
        </w:rPr>
        <w:t>, 519.</w:t>
      </w:r>
    </w:p>
    <w:sectPr w:rsidSect="00DF0B0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57222"/>
      <w:docPartObj>
        <w:docPartGallery w:val="Page Numbers (Top of Page)"/>
        <w:docPartUnique/>
      </w:docPartObj>
    </w:sdtPr>
    <w:sdtContent>
      <w:p w:rsidR="00DF0B07">
        <w:pPr>
          <w:pStyle w:val="Header"/>
          <w:jc w:val="right"/>
        </w:pPr>
        <w:r>
          <w:rPr>
            <w:rFonts w:ascii="Times New Roman" w:hAnsi="Times New Roman" w:cs="Times New Roman"/>
            <w:sz w:val="24"/>
            <w:szCs w:val="24"/>
          </w:rPr>
          <w:t xml:space="preserve">POWER OF ATTORNEY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217EB2">
          <w:rPr>
            <w:noProof/>
          </w:rPr>
          <w:t>4</w:t>
        </w:r>
        <w:r w:rsidR="00217EB2">
          <w:rPr>
            <w:noProof/>
          </w:rPr>
          <w:fldChar w:fldCharType="end"/>
        </w:r>
      </w:p>
    </w:sdtContent>
  </w:sdt>
  <w:p w:rsidR="00DF0B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B07" w:rsidRPr="00DF0B07" w:rsidP="00DF0B0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Running Head: POWER OF ATTORNEY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rsids>
    <w:rsidRoot w:val="00C7666B"/>
    <w:rsid w:val="00004DB2"/>
    <w:rsid w:val="00122409"/>
    <w:rsid w:val="0012726D"/>
    <w:rsid w:val="00173C3A"/>
    <w:rsid w:val="001D2FD1"/>
    <w:rsid w:val="001D360C"/>
    <w:rsid w:val="00217EB2"/>
    <w:rsid w:val="00247E92"/>
    <w:rsid w:val="00267333"/>
    <w:rsid w:val="002E6B4F"/>
    <w:rsid w:val="00370D64"/>
    <w:rsid w:val="00420CD3"/>
    <w:rsid w:val="004A3ED6"/>
    <w:rsid w:val="004C0381"/>
    <w:rsid w:val="00690EF7"/>
    <w:rsid w:val="006F42C3"/>
    <w:rsid w:val="00783306"/>
    <w:rsid w:val="007B7713"/>
    <w:rsid w:val="00877E5F"/>
    <w:rsid w:val="00902BDE"/>
    <w:rsid w:val="0092015C"/>
    <w:rsid w:val="009D26BC"/>
    <w:rsid w:val="009E4A1D"/>
    <w:rsid w:val="00AA44F1"/>
    <w:rsid w:val="00AD4DDC"/>
    <w:rsid w:val="00B45404"/>
    <w:rsid w:val="00BA3E5E"/>
    <w:rsid w:val="00BB0E3B"/>
    <w:rsid w:val="00BF228E"/>
    <w:rsid w:val="00C618ED"/>
    <w:rsid w:val="00C7666B"/>
    <w:rsid w:val="00CD0D7A"/>
    <w:rsid w:val="00D25F6F"/>
    <w:rsid w:val="00D2757B"/>
    <w:rsid w:val="00DF0B07"/>
    <w:rsid w:val="00E02088"/>
    <w:rsid w:val="00E02933"/>
    <w:rsid w:val="00E76E94"/>
    <w:rsid w:val="00E9402E"/>
    <w:rsid w:val="00EB658C"/>
    <w:rsid w:val="00F45694"/>
    <w:rsid w:val="00F464F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5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7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7333"/>
  </w:style>
  <w:style w:type="paragraph" w:styleId="Footer">
    <w:name w:val="footer"/>
    <w:basedOn w:val="Normal"/>
    <w:link w:val="FooterChar"/>
    <w:uiPriority w:val="99"/>
    <w:semiHidden/>
    <w:unhideWhenUsed/>
    <w:rsid w:val="0026733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733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600</Words>
  <Characters>3423</Characters>
  <Application>Microsoft Office Word</Application>
  <DocSecurity>0</DocSecurity>
  <Lines>28</Lines>
  <Paragraphs>8</Paragraphs>
  <ScaleCrop>false</ScaleCrop>
  <Company/>
  <LinksUpToDate>false</LinksUpToDate>
  <CharactersWithSpaces>4015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37</cp:revision>
  <dcterms:created xsi:type="dcterms:W3CDTF">2020-09-11T10:15:00Z</dcterms:created>
  <dcterms:modified xsi:type="dcterms:W3CDTF">2020-09-11T11:26:00Z</dcterms:modified>
</cp:coreProperties>
</file>